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CCF" w:rsidRDefault="000E0F51" w:rsidP="003E0CCF">
      <w:pPr>
        <w:pStyle w:val="Nagwek1"/>
        <w:spacing w:before="0" w:after="120" w:line="360" w:lineRule="auto"/>
        <w:rPr>
          <w:rFonts w:ascii="Arial" w:hAnsi="Arial" w:cs="Arial"/>
          <w:color w:val="auto"/>
          <w:sz w:val="20"/>
          <w:szCs w:val="20"/>
        </w:rPr>
      </w:pPr>
      <w:r w:rsidRPr="006E421B">
        <w:rPr>
          <w:rFonts w:ascii="Arial" w:hAnsi="Arial" w:cs="Arial"/>
          <w:color w:val="auto"/>
          <w:sz w:val="20"/>
          <w:szCs w:val="20"/>
        </w:rPr>
        <w:t>Załącznik 3.</w:t>
      </w:r>
      <w:r w:rsidR="00A71244" w:rsidRPr="006E421B">
        <w:rPr>
          <w:rFonts w:ascii="Arial" w:hAnsi="Arial" w:cs="Arial"/>
          <w:color w:val="auto"/>
          <w:sz w:val="20"/>
          <w:szCs w:val="20"/>
        </w:rPr>
        <w:t>2</w:t>
      </w:r>
      <w:r w:rsidRPr="006E421B">
        <w:rPr>
          <w:rFonts w:ascii="Arial" w:hAnsi="Arial" w:cs="Arial"/>
          <w:color w:val="auto"/>
          <w:sz w:val="20"/>
          <w:szCs w:val="20"/>
        </w:rPr>
        <w:t xml:space="preserve">  </w:t>
      </w:r>
    </w:p>
    <w:p w:rsidR="00860A36" w:rsidRPr="003E0CCF" w:rsidRDefault="00860A36" w:rsidP="003E0CCF">
      <w:pPr>
        <w:pStyle w:val="Nagwek1"/>
        <w:spacing w:before="0" w:after="12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E421B">
        <w:rPr>
          <w:rFonts w:ascii="Arial" w:hAnsi="Arial" w:cs="Arial"/>
          <w:color w:val="auto"/>
          <w:sz w:val="20"/>
          <w:szCs w:val="20"/>
        </w:rPr>
        <w:t>Kryteria merytoryczne ogólne i kryteria merytoryczne szczegółowe</w:t>
      </w:r>
      <w:r>
        <w:rPr>
          <w:rFonts w:ascii="Arial" w:hAnsi="Arial" w:cs="Arial"/>
          <w:color w:val="auto"/>
          <w:sz w:val="20"/>
          <w:szCs w:val="20"/>
        </w:rPr>
        <w:t xml:space="preserve"> w ramach konkursu nr RPMA.</w:t>
      </w:r>
      <w:r w:rsidR="00BC1C59">
        <w:rPr>
          <w:rFonts w:ascii="Arial" w:hAnsi="Arial" w:cs="Arial"/>
          <w:color w:val="auto"/>
          <w:sz w:val="20"/>
          <w:szCs w:val="20"/>
        </w:rPr>
        <w:t>10.03.01</w:t>
      </w:r>
      <w:r w:rsidRPr="00B37BD2">
        <w:rPr>
          <w:rFonts w:ascii="Arial" w:hAnsi="Arial" w:cs="Arial"/>
          <w:color w:val="auto"/>
          <w:sz w:val="20"/>
          <w:szCs w:val="20"/>
        </w:rPr>
        <w:t>-IP.01-14-0</w:t>
      </w:r>
      <w:r w:rsidR="00BC1C59">
        <w:rPr>
          <w:rFonts w:ascii="Arial" w:hAnsi="Arial" w:cs="Arial"/>
          <w:color w:val="auto"/>
          <w:sz w:val="20"/>
          <w:szCs w:val="20"/>
        </w:rPr>
        <w:t>73</w:t>
      </w:r>
      <w:r w:rsidR="00D60EFC">
        <w:rPr>
          <w:rFonts w:ascii="Arial" w:hAnsi="Arial" w:cs="Arial"/>
          <w:color w:val="auto"/>
          <w:sz w:val="20"/>
          <w:szCs w:val="20"/>
        </w:rPr>
        <w:t>/18</w:t>
      </w:r>
      <w:r w:rsidRPr="00B37BD2">
        <w:rPr>
          <w:rFonts w:ascii="Arial" w:hAnsi="Arial" w:cs="Arial"/>
          <w:color w:val="auto"/>
          <w:sz w:val="20"/>
          <w:szCs w:val="20"/>
        </w:rPr>
        <w:t xml:space="preserve"> w ramach</w:t>
      </w:r>
      <w:r w:rsidRPr="00E862A0">
        <w:rPr>
          <w:rFonts w:ascii="Arial" w:hAnsi="Arial" w:cs="Arial"/>
          <w:color w:val="auto"/>
          <w:sz w:val="20"/>
          <w:szCs w:val="20"/>
        </w:rPr>
        <w:t xml:space="preserve"> Osi Priorytetowej </w:t>
      </w:r>
      <w:r w:rsidRPr="00184987">
        <w:rPr>
          <w:rFonts w:ascii="Arial" w:eastAsia="Times New Roman" w:hAnsi="Arial" w:cs="Arial"/>
          <w:color w:val="000000"/>
          <w:kern w:val="32"/>
          <w:sz w:val="20"/>
          <w:szCs w:val="20"/>
          <w:lang w:eastAsia="pl-PL"/>
        </w:rPr>
        <w:t xml:space="preserve">X </w:t>
      </w:r>
      <w:r w:rsidR="00BC1C59">
        <w:rPr>
          <w:rFonts w:ascii="Arial" w:eastAsia="Times New Roman" w:hAnsi="Arial" w:cs="Arial"/>
          <w:color w:val="000000"/>
          <w:kern w:val="32"/>
          <w:sz w:val="20"/>
          <w:szCs w:val="20"/>
          <w:lang w:eastAsia="pl-PL"/>
        </w:rPr>
        <w:t>Edukacja dla rozwoju regionu, Działania 10.3 Doskonalenie zawodowe,</w:t>
      </w:r>
      <w:r w:rsidRPr="00184987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 </w:t>
      </w:r>
      <w:proofErr w:type="spellStart"/>
      <w:r w:rsidRPr="00184987">
        <w:rPr>
          <w:rFonts w:ascii="Arial" w:eastAsia="Times New Roman" w:hAnsi="Arial" w:cs="Arial"/>
          <w:color w:val="auto"/>
          <w:sz w:val="20"/>
          <w:szCs w:val="20"/>
          <w:lang w:eastAsia="pl-PL"/>
        </w:rPr>
        <w:t>Poddziałania</w:t>
      </w:r>
      <w:proofErr w:type="spellEnd"/>
      <w:r w:rsidRPr="00184987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 </w:t>
      </w:r>
      <w:r w:rsidR="00BC1C59">
        <w:rPr>
          <w:rFonts w:ascii="Arial" w:eastAsia="Times New Roman" w:hAnsi="Arial" w:cs="Arial"/>
          <w:color w:val="auto"/>
          <w:sz w:val="20"/>
          <w:szCs w:val="20"/>
          <w:lang w:eastAsia="pl-PL"/>
        </w:rPr>
        <w:t>10.3.1 Doskonalenie zawodowe uczniów</w:t>
      </w:r>
      <w:r w:rsidRPr="00184987">
        <w:rPr>
          <w:rFonts w:ascii="Arial" w:eastAsia="Times New Roman" w:hAnsi="Arial" w:cs="Arial"/>
          <w:color w:val="000000"/>
          <w:kern w:val="32"/>
          <w:sz w:val="20"/>
          <w:szCs w:val="20"/>
          <w:lang w:eastAsia="pl-PL"/>
        </w:rPr>
        <w:t>.</w:t>
      </w:r>
    </w:p>
    <w:p w:rsidR="008C602F" w:rsidRPr="008460B8" w:rsidRDefault="008C602F" w:rsidP="008460B8">
      <w:pPr>
        <w:jc w:val="both"/>
        <w:rPr>
          <w:rFonts w:ascii="Arial" w:hAnsi="Arial" w:cs="Arial"/>
          <w:sz w:val="20"/>
          <w:szCs w:val="20"/>
        </w:rPr>
      </w:pPr>
      <w:r w:rsidRPr="008460B8">
        <w:rPr>
          <w:rFonts w:ascii="Arial" w:hAnsi="Arial" w:cs="Arial"/>
          <w:sz w:val="20"/>
          <w:szCs w:val="20"/>
        </w:rPr>
        <w:t xml:space="preserve">Ocena merytoryczna wniosku obejmuje sprawdzenie, czy wniosek spełnia:  </w:t>
      </w:r>
    </w:p>
    <w:p w:rsidR="000E0F51" w:rsidRPr="006E421B" w:rsidRDefault="000E0F51" w:rsidP="006E421B">
      <w:pPr>
        <w:pStyle w:val="Nagwek2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a) </w:t>
      </w:r>
      <w:r w:rsidR="008C602F"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następujące </w:t>
      </w:r>
      <w:r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kryteria merytoryczne ogólne (część A Karty oceny merytorycznej): </w:t>
      </w:r>
    </w:p>
    <w:p w:rsidR="000E0F51" w:rsidRPr="008460B8" w:rsidRDefault="000E0F51" w:rsidP="000E0F51">
      <w:pPr>
        <w:spacing w:before="120"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1"/>
        <w:tblW w:w="14460" w:type="dxa"/>
        <w:tblInd w:w="-318" w:type="dxa"/>
        <w:tblLook w:val="04A0"/>
      </w:tblPr>
      <w:tblGrid>
        <w:gridCol w:w="710"/>
        <w:gridCol w:w="2835"/>
        <w:gridCol w:w="6804"/>
        <w:gridCol w:w="4111"/>
      </w:tblGrid>
      <w:tr w:rsidR="000E0F51" w:rsidRPr="000E0F51" w:rsidTr="00B40AE2">
        <w:trPr>
          <w:trHeight w:val="609"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Definicja kryterium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Opis znaczenia</w:t>
            </w:r>
          </w:p>
          <w:p w:rsidR="000E0F51" w:rsidRPr="00BB100A" w:rsidRDefault="000E0F51" w:rsidP="000E0F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Kryterium (w przypadku projektów konkursowych maksymalna liczba punktów od każdego </w:t>
            </w: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z obydwu oceniających możliwa do przyznania za spełnienie kryterium /minimalna liczba punktów od każdego </w:t>
            </w: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z obydwu oceniających umożliwiająca spełnienie kryterium)</w:t>
            </w: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6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Zgodność projektu z celami RPO WM 2014-2020 oraz z diagnozą zawartą w RPO WM 2014-2020.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i rzetelność identyfikacji problemów obszaru, na którym będzie realizowany projekt;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wskazania celu głównego i celów szczegółowych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sposobu, w jaki projekt przyczyni się do realizacji celu szczegółowego RPO WM 2014-2020;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zgodność przedstawionego celu głównego z koncepcją SMART.</w:t>
            </w:r>
          </w:p>
          <w:p w:rsidR="00C40C34" w:rsidRPr="003A55DC" w:rsidRDefault="00C40C34" w:rsidP="00BC1C59">
            <w:pPr>
              <w:pStyle w:val="Akapitzlist"/>
              <w:spacing w:after="200" w:line="276" w:lineRule="auto"/>
              <w:ind w:left="36" w:hanging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10/6</w:t>
            </w:r>
          </w:p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albo</w:t>
            </w:r>
          </w:p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5/3</w:t>
            </w:r>
            <w:r w:rsidRPr="003A55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:rsidR="00C40C34" w:rsidRPr="003A55DC" w:rsidRDefault="00213CB1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Adekwatność doboru i opisu rezultatów realizacji projektu.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trafność wyboru i opisu wskaźników, które będzie realizował projekt, tj.: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doboru wskaźników do celu szczegółowego oraz do grupy docelowej, do charakteru projektu (uwzględnienie we wskaźnikach zakresu rzeczowego i charakteru projektu oraz czy mierzą cele projektu);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realność osiągnięcia wskaźników w kontekście wartości projektu, potencjału finansowego, technicznego i kadrowego Wnioskodawcy,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>okresu realizacji projektu, ewentualnie innych, istotnych czynników wpływających na realizacje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3A55DC">
              <w:rPr>
                <w:rFonts w:ascii="Arial" w:eastAsia="Times New Roman" w:hAnsi="Arial" w:cs="Arial"/>
                <w:sz w:val="20"/>
                <w:szCs w:val="20"/>
              </w:rPr>
              <w:t>sposób i częstotliwość pomiaru wskaźników oraz źródła ich pomiaru;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3A55DC">
              <w:rPr>
                <w:rFonts w:ascii="Arial" w:eastAsia="Times New Roman" w:hAnsi="Arial" w:cs="Arial"/>
                <w:sz w:val="20"/>
                <w:szCs w:val="20"/>
              </w:rPr>
              <w:t>czy projekt realizuje wskaźniki z ram wykonania.</w:t>
            </w:r>
          </w:p>
          <w:p w:rsidR="00C40C34" w:rsidRPr="003A55DC" w:rsidRDefault="00C40C34" w:rsidP="00BC1C59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15/9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doboru grupy docelowej objętej wsparciem w projekcie.</w:t>
            </w:r>
          </w:p>
          <w:p w:rsidR="00C40C34" w:rsidRPr="003A55DC" w:rsidRDefault="00C40C34" w:rsidP="00BC1C59">
            <w:pPr>
              <w:spacing w:before="60" w:after="60" w:line="240" w:lineRule="exact"/>
              <w:ind w:left="348" w:hanging="348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uzasadnienie wyboru grupy docelowej, jej potrzeb i oczekiwań; 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wielkość i struktura grupy docelowej (w tym udział osób z niepełno sprawnościami, udział osób doświadczających wykluczenia z więcej niż jednego powodu);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barier, na które napotykają uczestnicy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przeprowadzania naboru do udziału w projekcie (kryteria rekrutacji, działania motywujące do udziału w projekcie).</w:t>
            </w:r>
          </w:p>
          <w:p w:rsidR="00C40C34" w:rsidRPr="003A55DC" w:rsidRDefault="00C40C34" w:rsidP="00BC1C59">
            <w:pPr>
              <w:pStyle w:val="Akapitzlist"/>
              <w:spacing w:after="0" w:line="240" w:lineRule="auto"/>
              <w:ind w:left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160A85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10/6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opisanej analizy ryzyka nieosiągnięcia założeń projektu.</w:t>
            </w:r>
            <w:r w:rsidRPr="003A55DC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"/>
            </w:r>
          </w:p>
          <w:p w:rsidR="00C40C34" w:rsidRPr="003A55DC" w:rsidRDefault="00C40C34" w:rsidP="00BC1C59">
            <w:pPr>
              <w:spacing w:before="60" w:after="60" w:line="240" w:lineRule="exact"/>
              <w:ind w:left="7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opisu sytuacji, których wystąpienie utrudni lub uniemożliwi osiągnięcie wartości docelowej wskaźników rezultatu;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sposobu identyfikacji wystąpienia takich sytuacji (zajścia ryzyka);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wyboru działań, które zostaną podjęte, aby zapobiec wystąpieniu ryzyka i jakie będą mogły zostać podjęte, aby zminimalizować skutki wystąpienia ryzyka.</w:t>
            </w:r>
          </w:p>
          <w:p w:rsidR="00C40C34" w:rsidRPr="003A55DC" w:rsidRDefault="00C40C34" w:rsidP="00BC1C59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6E421B" w:rsidRDefault="006E421B" w:rsidP="006E4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21B">
              <w:rPr>
                <w:rFonts w:ascii="Arial" w:hAnsi="Arial" w:cs="Arial"/>
                <w:sz w:val="20"/>
                <w:szCs w:val="20"/>
              </w:rPr>
              <w:t>5/3</w:t>
            </w: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Spójność zadań przewidzianych do realizacji w ramach projektu oraz trafność doboru i opisu zadań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spacing w:before="120" w:after="24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uzasadnienia potrzeby realizacji zadań;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planowanego sposobu realizacji zadań, w tym racjonalność harmonogramu działań (podział zadań na etapy, logiczność i chronologia działań;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sposobu realizacji zasady równości szans i niedyskryminacji, w tym dostępności dla osób z niepełnosprawnościami;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trafność określenia wartości wskaźników realizacji właściwego celu szczegółowego RPO WM 2014-2020 lub innych wskaźników określonych we wniosku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o dofinansowanie, które zostaną osiągnięte w ramach zadań;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opis sposobu, w jaki zostanie zachowana trwałość rezultatów projektu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(o ile dotyczy);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opis uzasadnienia wyboru partnerów do realizacji poszczególnych zadań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(o ile dotyczy);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doboru wskaźników dla rozliczenia kwot ryczałtowych i dokumentów potwierdzających ich wykonanie (o ile dotyczy).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20/12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Potencjał finansowy, kadrowy i techniczny Wnioskodawcy oraz partnerów projektu (o ile dotyczy).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12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zasoby finansowe, jakie wniesie do projektu Wnioskodawca i partnerzy (o ile dotyczy);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60" w:after="6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potencjał kadrowy Wnioskodawcy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i partnerów (o ile dotyczy) i sposób jego wykorzystania w ramach projektu (kluczowe osoby, które zostaną zaangażowane do realizacji projektu oraz ich planowanej funkcji w projekcie);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60" w:after="6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potencjał techniczny, w tym sprzętowy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 xml:space="preserve">i warunki lokalowe Wnioskodawcy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i partnerów (o ile dotyczy) i sposób jego wykorzystania w ramach projektu.</w:t>
            </w:r>
          </w:p>
          <w:p w:rsidR="00C40C34" w:rsidRPr="003A55DC" w:rsidRDefault="00C40C34" w:rsidP="00BC1C59">
            <w:pPr>
              <w:spacing w:before="6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10/6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Doświadczenie Wnioskodawcy i partnerów (o ile dotyczy).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doświadczenia będzie oceniane w kontekście dotychczasowej działalności i możliwości weryfikacji rezultatów tej działalności, która była lub jest prowadzona: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w obszarze, w którym udzielane będzie wsparcie przewidziane w ramach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na rzecz grupy docelowej, do której kierowane będzie wsparcie przewidziane w ramach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na określonym terytorium, którego dotyczyć będzie realizacja projektu.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adekwatność opisu instytucji, które mogą potwierdzić potencjał społeczny Wnioskodawcy i partnerów (o ile dotyczy).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15/9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12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zarządzania projektem.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adekwatność sposobu zarządzania projektem do zakresu zadań w projekcie, tj.: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liczebność personelu, w tym w szczególności personelu kluczowego;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>czytelność struktury zarządzania, podział obowiązków i odpowiedzialności;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podejmowania decyzji i sposób komunikacji;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udział partnerów w zarządzaniu projektem (w przypadku projektów partnerskich);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monitorowanie realizacji projektu.</w:t>
            </w:r>
          </w:p>
          <w:p w:rsidR="00C40C34" w:rsidRPr="003A55DC" w:rsidRDefault="00C40C34" w:rsidP="00BC1C59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5/3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Efektywność kosztowa projektu i prawidłowość sporządzenia budżetu.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niezbędność zaplanowanych wydatków w kontekście zaplanowanych zadań i celu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zgodność ze standardem i cenami rynkowymi określonymi w Regulaminie konkursu lub określonymi w Wezwaniu do złożenia wniosku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o dofinansowanie projektu pozakonkursowego;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kwalifikowalność wydatków;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racjonalność i efektywność wydatków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poprawność uzasadnienia wydatków w ramach kwot ryczałtowych (o ile dotyczy).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ind w:left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15/9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421B" w:rsidRDefault="006E421B" w:rsidP="00A65732">
      <w:pPr>
        <w:rPr>
          <w:rFonts w:ascii="Arial" w:hAnsi="Arial" w:cs="Arial"/>
        </w:rPr>
      </w:pPr>
    </w:p>
    <w:p w:rsidR="00AC4384" w:rsidRDefault="00B40AE2" w:rsidP="00AC4384">
      <w:pPr>
        <w:pStyle w:val="Nagwek2"/>
        <w:spacing w:before="0" w:after="120"/>
        <w:rPr>
          <w:rFonts w:ascii="Arial" w:hAnsi="Arial" w:cs="Arial"/>
          <w:color w:val="auto"/>
          <w:sz w:val="20"/>
          <w:szCs w:val="20"/>
          <w:lang w:eastAsia="pl-PL"/>
        </w:rPr>
      </w:pPr>
      <w:r>
        <w:rPr>
          <w:rFonts w:ascii="Arial" w:hAnsi="Arial" w:cs="Arial"/>
          <w:color w:val="auto"/>
          <w:sz w:val="20"/>
          <w:szCs w:val="20"/>
          <w:lang w:eastAsia="pl-PL"/>
        </w:rPr>
        <w:t xml:space="preserve">b) </w:t>
      </w:r>
      <w:r w:rsidR="00AC4384" w:rsidRPr="003828BF">
        <w:rPr>
          <w:rFonts w:ascii="Arial" w:hAnsi="Arial" w:cs="Arial"/>
          <w:color w:val="auto"/>
          <w:sz w:val="20"/>
          <w:szCs w:val="20"/>
          <w:lang w:eastAsia="pl-PL"/>
        </w:rPr>
        <w:t>Kryterium podsumowujące ogólne</w:t>
      </w:r>
      <w:r w:rsidR="00AC4384">
        <w:rPr>
          <w:rFonts w:ascii="Arial" w:hAnsi="Arial" w:cs="Arial"/>
          <w:color w:val="auto"/>
          <w:sz w:val="20"/>
          <w:szCs w:val="20"/>
          <w:lang w:eastAsia="pl-PL"/>
        </w:rPr>
        <w:t xml:space="preserve">: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833"/>
        <w:gridCol w:w="6806"/>
        <w:gridCol w:w="3871"/>
      </w:tblGrid>
      <w:tr w:rsidR="00AC4384" w:rsidRPr="003828BF" w:rsidTr="00B40AE2">
        <w:trPr>
          <w:trHeight w:val="1332"/>
        </w:trPr>
        <w:tc>
          <w:tcPr>
            <w:tcW w:w="250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96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393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Opis kryterium</w:t>
            </w:r>
          </w:p>
        </w:tc>
        <w:tc>
          <w:tcPr>
            <w:tcW w:w="1361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 xml:space="preserve">Opis znaczenia kryterium </w:t>
            </w: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</w:p>
        </w:tc>
      </w:tr>
      <w:tr w:rsidR="00AC4384" w:rsidRPr="003828BF" w:rsidTr="00B40AE2">
        <w:trPr>
          <w:trHeight w:val="545"/>
        </w:trPr>
        <w:tc>
          <w:tcPr>
            <w:tcW w:w="250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96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93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61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C4384" w:rsidRPr="003828BF" w:rsidTr="00BC1C59">
        <w:tc>
          <w:tcPr>
            <w:tcW w:w="250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Negocjacje zakończyły się wynikiem pozytywnym. </w:t>
            </w:r>
          </w:p>
        </w:tc>
        <w:tc>
          <w:tcPr>
            <w:tcW w:w="2393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Kryterium będzie uznane za spełnione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w przypadku, gdy: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zostały spełnione warunki określone przez oceniających lub przewodniczącego KOP podczas negocjacji; 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zostały udzielone informacje 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i wyjaśnienia wymagane podczas negocjacji i IOK zaakceptowała stanowisko wnioskodawcy;  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-do projektu nie wprowadzono innych nieuzgodnionych w ramach negocjacji zmian.  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Kryterium dotyczy wyłącznie projektów konkursowych kierowanych do negocjacji.  Spełnienie kryterium jest konieczne do przyznania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lastRenderedPageBreak/>
              <w:t>dofinansowania.</w:t>
            </w:r>
          </w:p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Niespełnienie któregokolwiek z trzech warunków wymienionych w opisie kryterium skutkuje negatywną oceną całego kryterium.  </w:t>
            </w:r>
          </w:p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Projekty niespełniające kryterium są odrzucane na etapie oceny merytorycznej. </w:t>
            </w:r>
          </w:p>
        </w:tc>
      </w:tr>
    </w:tbl>
    <w:p w:rsidR="00AC4384" w:rsidRDefault="00AC4384" w:rsidP="00A65732">
      <w:pPr>
        <w:rPr>
          <w:rFonts w:ascii="Arial" w:hAnsi="Arial" w:cs="Arial"/>
        </w:rPr>
      </w:pPr>
    </w:p>
    <w:p w:rsidR="005845DD" w:rsidRDefault="00B40AE2" w:rsidP="006E421B">
      <w:pPr>
        <w:pStyle w:val="Nagwek2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c</w:t>
      </w:r>
      <w:r w:rsidR="005845DD" w:rsidRPr="006E421B">
        <w:rPr>
          <w:rFonts w:ascii="Arial" w:hAnsi="Arial" w:cs="Arial"/>
          <w:color w:val="auto"/>
          <w:sz w:val="20"/>
          <w:szCs w:val="20"/>
        </w:rPr>
        <w:t>) następujące kryteria merytoryczne szczegółowe (część B Karty oceny merytorycznej):</w:t>
      </w:r>
    </w:p>
    <w:p w:rsidR="00B40AE2" w:rsidRDefault="00B40AE2" w:rsidP="00B40AE2"/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8"/>
        <w:gridCol w:w="3232"/>
        <w:gridCol w:w="5245"/>
        <w:gridCol w:w="3714"/>
        <w:gridCol w:w="1417"/>
      </w:tblGrid>
      <w:tr w:rsidR="00B40AE2" w:rsidRPr="00B40AE2" w:rsidTr="00B40AE2">
        <w:trPr>
          <w:trHeight w:val="995"/>
          <w:tblHeader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0" w:type="dxa"/>
            <w:gridSpan w:val="2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Kryterium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Opis kryterium </w:t>
            </w:r>
          </w:p>
        </w:tc>
        <w:tc>
          <w:tcPr>
            <w:tcW w:w="3714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napToGrid w:val="0"/>
              <w:spacing w:before="80" w:after="80" w:line="312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Maksymalna liczba punktów</w:t>
            </w:r>
          </w:p>
        </w:tc>
      </w:tr>
      <w:tr w:rsidR="00BC1C59" w:rsidRPr="00B40AE2" w:rsidTr="00BC1C59">
        <w:trPr>
          <w:trHeight w:val="2267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przewiduje realizację działań planowanych w projekcie w partnerstwie z instytucjami otoczenia społeczno-gospodarczego szkół.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12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zamieszcza we wniosku o dofinansowanie dane każdej instytucji z otoczenia społeczno-gospodarczego</w:t>
            </w:r>
            <w:r w:rsidRPr="001C7202"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3"/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szkoły, z którą projekt jest realizowany w partnerstwie oraz zasoby ludzkie, organizacyjne, techniczne lub finansowe jakie wnosi ona do projektu.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Wybór przez Wnioskodawcę partnera/partnerów musi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nastąpić przed złożeniem wniosku o dofinansowanie. Nie jest to jednak równoznaczne z wymogiem zawarcia porozumienia albo umowy o partnerstwie między Wnioskodawcą a partnerem/partnerami przed złożeniem wniosku o dofinansowanie.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ma na celu podniesienie poziomu jakości świadczonych usług w zakresie kształcenia zawodowego. 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wynika z zapisów Regionalnego Programu Operacyjnego Województwa Mazowieckiego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weryfikowane na podstawie zapisów wniosku o dofinansowanie projektu. 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realizacja projektu w partnerstwie: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brak partnerstwa lub brak informacji w tym zakresie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1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z 1 partnerem,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z 2 partnerami 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3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z 3 i więcej partnerami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</w:tr>
      <w:tr w:rsidR="00BC1C59" w:rsidRPr="00B40AE2" w:rsidTr="00BC1C59">
        <w:trPr>
          <w:trHeight w:val="992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Projekt przewiduje doskonalenie umiejętności, kompetencji lub kwalifikacji zawodowych nauczycieli zawodu i instruktorów praktycznej nauki zawodu na studiach podyplomowych lub kursach kwalifikacyjnych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przygotowujących do wykonywania zawodu nauczyciela kształcenia zawodowego w ramach zawodów nowo wprowadzonych do klasyfikacji zawodów szkolnictwa zawodowego, zawodów wprowadzonych w ramach modernizacji oferty kształcenia zawodowego albo nowoutworzonych kierunków nauczania lub zawodów, na które występuje deficyt na regionalnym rynku pracy oraz braki kadrowe nauczycieli.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Wnioskodawca we wniosku o dofinansowanie wskazuje, czy kształcenie nauczycieli, w tym nauczycieli zawodu i instruktorów praktycznej nauki zawodu dotyczy studiów podyplomowych</w:t>
            </w:r>
            <w:r w:rsidRPr="001C7202"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4"/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kursów kwalifikacyjnych w ramach:</w:t>
            </w:r>
          </w:p>
          <w:p w:rsidR="00BC1C59" w:rsidRPr="001C7202" w:rsidRDefault="00BC1C59" w:rsidP="001C7202">
            <w:pPr>
              <w:numPr>
                <w:ilvl w:val="0"/>
                <w:numId w:val="45"/>
              </w:num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zawodów nowo wprowadzonych do klasyfikacji zawodów szkolnictwa zawodowego, </w:t>
            </w:r>
          </w:p>
          <w:p w:rsidR="00BC1C59" w:rsidRPr="001C7202" w:rsidRDefault="00BC1C59" w:rsidP="001C7202">
            <w:pPr>
              <w:spacing w:after="0" w:line="36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i/albo</w:t>
            </w:r>
          </w:p>
          <w:p w:rsidR="00BC1C59" w:rsidRPr="001C7202" w:rsidRDefault="00BC1C59" w:rsidP="001C7202">
            <w:pPr>
              <w:numPr>
                <w:ilvl w:val="0"/>
                <w:numId w:val="45"/>
              </w:num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zawodów wprowadzonych w efekcie modernizacji oferty kształcenia zawodowego, </w:t>
            </w:r>
          </w:p>
          <w:p w:rsidR="00BC1C59" w:rsidRPr="001C7202" w:rsidRDefault="00BC1C59" w:rsidP="001C7202">
            <w:pPr>
              <w:spacing w:after="0" w:line="36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i/albo </w:t>
            </w:r>
          </w:p>
          <w:p w:rsidR="00BC1C59" w:rsidRPr="001C7202" w:rsidRDefault="00BC1C59" w:rsidP="001C7202">
            <w:pPr>
              <w:numPr>
                <w:ilvl w:val="0"/>
                <w:numId w:val="45"/>
              </w:num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tworzenia nowych kierunków nauczania lub zawodów, na które występuje deficyt na regionalnym lub lokalnym rynku pracy oraz braki kadrowe wśród nauczycieli kształcenia zawodowego</w:t>
            </w:r>
            <w:r w:rsidRPr="001C7202"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5"/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ma na celu podniesienie jakości kształcenia zawodowego i lepsze dostosowanie go do potrzeb gospodarki rynku pracy.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wynika z zapisów RPO WM oraz Wytycznych z w zakresie realizacji przedsięwzięć z udziałem środków Europejskiego Funduszu Społecznego w obszarze edukacji na lata 2014-2020. 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podjęcie w projekcie działań mających na celu doskonalenie umiejętności, kompetencji lub kwalifikacji zawodowych nauczycieli zawodu i instruktorów praktycznej nauki zawodu na studiach podyplomowych lub kursach kwalifikacyjnych w ramach:</w:t>
            </w:r>
          </w:p>
          <w:p w:rsidR="00BC1C59" w:rsidRPr="00CD14DA" w:rsidRDefault="00BC1C59" w:rsidP="00BC1C59">
            <w:pPr>
              <w:numPr>
                <w:ilvl w:val="0"/>
                <w:numId w:val="46"/>
              </w:numPr>
              <w:spacing w:after="0" w:line="240" w:lineRule="auto"/>
              <w:ind w:left="147" w:hanging="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zawodów nowo wprowadzonych do klasyfikacji zawodów szkolnictwa zawodowego,</w:t>
            </w:r>
          </w:p>
          <w:p w:rsidR="00BC1C59" w:rsidRPr="00CD14DA" w:rsidRDefault="00BC1C59" w:rsidP="00BC1C59">
            <w:pPr>
              <w:spacing w:after="0" w:line="240" w:lineRule="auto"/>
              <w:ind w:left="14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albo/i </w:t>
            </w:r>
          </w:p>
          <w:p w:rsidR="00BC1C59" w:rsidRPr="00CD14DA" w:rsidRDefault="00BC1C59" w:rsidP="00BC1C59">
            <w:pPr>
              <w:numPr>
                <w:ilvl w:val="0"/>
                <w:numId w:val="46"/>
              </w:numPr>
              <w:spacing w:after="0" w:line="240" w:lineRule="auto"/>
              <w:ind w:left="147" w:hanging="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zawodów wprowadzonych w efekcie modernizacji oferty kształcenia zawodowego, </w:t>
            </w:r>
          </w:p>
          <w:p w:rsidR="00BC1C59" w:rsidRPr="00CD14DA" w:rsidRDefault="00BC1C59" w:rsidP="00BC1C59">
            <w:pPr>
              <w:spacing w:after="0" w:line="240" w:lineRule="auto"/>
              <w:ind w:left="14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albo/i </w:t>
            </w:r>
          </w:p>
          <w:p w:rsidR="00BC1C59" w:rsidRPr="00CD14DA" w:rsidRDefault="00BC1C59" w:rsidP="00BC1C59">
            <w:pPr>
              <w:numPr>
                <w:ilvl w:val="0"/>
                <w:numId w:val="46"/>
              </w:numPr>
              <w:spacing w:after="0" w:line="240" w:lineRule="auto"/>
              <w:ind w:left="147" w:hanging="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tworzenia nowych kierunków nauczania lub zawodów, na które występuje deficyt na regionalnym lub lokalnym rynku pracy oraz braki kadrowe wśród nauczycieli kształcenia zawodowego:</w:t>
            </w:r>
          </w:p>
          <w:p w:rsidR="00BC1C59" w:rsidRPr="00CD14DA" w:rsidRDefault="00BC1C59" w:rsidP="00BC1C59">
            <w:pPr>
              <w:spacing w:after="0" w:line="240" w:lineRule="auto"/>
              <w:ind w:left="14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brak powyższych działań lub brak informacji w tym zakresie,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3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podjęcie przynajmniej jednego z powyższych działań,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6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podjęcie przynajmniej dwóch z powyższych działań.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6</w:t>
            </w:r>
          </w:p>
        </w:tc>
      </w:tr>
      <w:tr w:rsidR="00BC1C59" w:rsidRPr="00B40AE2" w:rsidTr="00BC1C59">
        <w:trPr>
          <w:trHeight w:val="708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7202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zakłada stworzenie nowych lub doposażenie istniejących międzyszkolnych </w:t>
            </w:r>
            <w:r w:rsidRPr="001C720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pracowni umożliwiających praktyczną naukę zawodu.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Wnioskodawca we wniosku o dofinansowanie wskazuje, czy projekt zakłada stworzenie nowych i/lub doposażenie istniejących międzyszkolnych pracowni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umożliwiających praktyczną naukę zawodu.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W przypadku gdy działania realizowane w ramach projektu obejmują inwestycje w infrastrukturę, wnioskodawca wskazuje potrzebę ich realizacji  w diagnozie, o której mowa w kryterium nr 6.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wymienia nazwę szkoły, w której zostanie stworzona/doposażona pracownia oraz nazwę/y szkół, które będą korzystały z pracowni międzyszkolnej.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przyczyni się do lepszego wykorzystania zasobów edukacyjnych na terenie gminy/powiatu, a także do wydatkowania środków publicznych zgodnie z zasadami skuteczności i oszczędności.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wynika z Rekomendacji Komisji Europejskiej dla EFS.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  <w:p w:rsidR="00BC1C59" w:rsidRPr="001C7202" w:rsidRDefault="00BC1C59" w:rsidP="001C7202">
            <w:pPr>
              <w:pStyle w:val="Standard"/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4" w:type="dxa"/>
          </w:tcPr>
          <w:p w:rsidR="00BC1C59" w:rsidRPr="00CD14DA" w:rsidRDefault="00BC1C59" w:rsidP="00BC1C59">
            <w:pPr>
              <w:pStyle w:val="Akapitzlist"/>
              <w:tabs>
                <w:tab w:val="left" w:pos="227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stworzenie  i/lub doposażenie międzyszkolnej/</w:t>
            </w:r>
          </w:p>
          <w:p w:rsidR="00BC1C59" w:rsidRPr="00CD14DA" w:rsidRDefault="00BC1C59" w:rsidP="00BC1C59">
            <w:pPr>
              <w:pStyle w:val="Akapitzlist"/>
              <w:tabs>
                <w:tab w:val="left" w:pos="227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międzyszkolnych pracowni w ramach projektu oraz udostępnienie jej/ich innym szkołom </w:t>
            </w:r>
          </w:p>
          <w:p w:rsidR="00BC1C59" w:rsidRPr="00CD14DA" w:rsidRDefault="00BC1C59" w:rsidP="00BC1C59">
            <w:pPr>
              <w:pStyle w:val="Akapitzlist"/>
              <w:tabs>
                <w:tab w:val="left" w:pos="227"/>
              </w:tabs>
              <w:spacing w:before="120"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brak powyższych działań lub brak informacji w tym zakresie.</w:t>
            </w: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stworzenie i/lub doposażenie międzyszkolnej/międzyszkolnych pracowni i udostępnienie 1 szkole,</w:t>
            </w:r>
          </w:p>
          <w:p w:rsidR="00BC1C59" w:rsidRPr="00CD14DA" w:rsidRDefault="00BC1C59" w:rsidP="00BC1C59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4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stworzenie i/lub doposażenie międzyszkolnej/międzyszkolnych pracowni i udostępnienie 2</w:t>
            </w:r>
            <w:r w:rsidRPr="00CD14DA" w:rsidDel="00560FA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szkołom i więcej.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rPr>
                <w:rFonts w:ascii="Arial" w:hAnsi="Arial" w:cs="Arial"/>
                <w:sz w:val="18"/>
                <w:szCs w:val="18"/>
              </w:rPr>
            </w:pPr>
            <w:r w:rsidRPr="00CD14DA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Projekt zakłada, że realizowane będą działania w zakresie kształcenia w miejscu pracy bądź programy stażowe  umożliwiające nabywanie kompetencji zawodowych w rzeczywistym środowisku pracy.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Wnioskodawca we wniosku o dofinansowanie wykazuje, jakie działania zostaną zrealizowane w projekcie  w zakresie kształcenia w miejscu pracy lub  w ramach programów stażowych umożliwiających nabywanie kompetencji zawodowych w miejscu  pracy. 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ma na celu zwiększenie w przyszłości szans uczniów na rynku pracy. Kryterium wynika z Wytycznych w zakresie realizacji przedsięwzięć z udziałem środków Europejskiego Funduszu Społecznego w obszarze edukacji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  <w:r w:rsidRPr="001C7202" w:rsidDel="003061E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0 </w:t>
            </w:r>
            <w:proofErr w:type="spellStart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- działania w ramach projektu realizowane w wyposażonej przyszkolnej pracowni zawodowej/warsztacie,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- działania w ramach projektu realizowane w miejscu pracy.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Projekt zakłada partycypację finansową pracodawcy na poziomie minimum 5% w kosztach organizacji i prowadzenia stażu i/lub praktyki zawodowej w przedsiębiorstwach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we wniosku o dofinansowanie wskazuje, że każdy pracodawca organizujący i prowadzący w ramach projektu praktyki zawodowe i/lub staże zawodowe dla uczniów w przedsiębiorstwach wnosi wkład finansowy w wymiarze co najmniej 5% kosztów organizacji  i prowadzenia praktyki zawodowej lub stażu zawodowego.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wynika z Wytycznych w zakresie realizacji przedsięwzięć z udziałem środków Europejskiego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Funduszu Społecznego w obszarze edukacji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partycypacja finansową pracodawcy na poziomie minimum 5% w kosztach organizacji i prowadzenia stażu i/lub praktyki zawodowej w przedsiębiorstwach: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brak partycypacji lub brak informacji w tym zakresie,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- partycypacja finansową pracodawcy na poziomie minimum 5%.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Działania w zakresie kształtowania i rozwijania u uczniów i słuchaczy szkół lub placówek systemu oświaty prowadzących kształcenie zawodowe kompetencji kluczowych oraz umiejętności uniwersalnych niezbędnych na rynku pracy są realizowane z wykorzystaniem e-podręczników bądź e-zasobów/ e-materiałów dydaktycznych stworzonych dzięki środkom EFS w latach 2007-2013 i 2014-2020.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we wniosku o dofinansowanie wykazuje, że projekt wykorzystuje w ramach kształcenia uczniów lub/i nauczycieli e-podręczniki bądź e-zasoby/ e-materiały dydaktyczne stworzone dzięki środkom EFS w latach 2007-2013 i 2014-2020.</w:t>
            </w: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wymienia wspomniane tytuły materiałów edukacyjnych i sposób ich wykorzystania celem weryfikacji zgodności wykorzystywanych materiałów</w:t>
            </w:r>
            <w:r w:rsidRPr="001C72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zakresem merytorycznym realizowanego wsparcia w projekcie.</w:t>
            </w: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przyczyni się do racjonalnego wykorzystania istniejących zasobów edukacyjnych, a także do wydatkowania środków publicznych zgodnie z zasadami skuteczności i oszczędności.</w:t>
            </w: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Zastosowanie kryterium wynika z Wytycznych w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zakresie realizacji przedsięwzięć z udziałem środków Europejskiego Funduszu Społecznego w obszarze edukacji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pStyle w:val="Standard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– nie są wykorzystane e-podręczniki bądź e-zasoby/e-materiały dydaktyczne stworzone dzięki środkom EFS w latach 2007-2013 i 2014-2020 lub brak informacji w tym zakresie,</w:t>
            </w:r>
          </w:p>
          <w:p w:rsidR="00BC1C59" w:rsidRPr="00CD14DA" w:rsidRDefault="00BC1C59" w:rsidP="00BC1C59">
            <w:pPr>
              <w:pStyle w:val="Standard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– są wykorzystane e-podręczniki bądź e-zasoby/e-materiały dydaktyczne stworzone dzięki środkom EFS w latach 2007-2013 i 2014-2020.</w:t>
            </w: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tabs>
                <w:tab w:val="left" w:pos="572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7.</w:t>
            </w: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Projekt jest realizowany wyłącznie na rzecz szkół z terenu miast średnich lub miast średnich tracących funkcje społeczno-gospodarcze.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Kryterium zapewnia silniejszą koncentrację wsparcia na obszarach cechujących się największymi potrzebami w zakresie ograniczania zjawiska nierównego startu na danym etapie edukacji.  </w:t>
            </w:r>
          </w:p>
          <w:p w:rsidR="00BC1C59" w:rsidRPr="001C7202" w:rsidRDefault="00BC1C59" w:rsidP="001C7202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wynika z </w:t>
            </w:r>
            <w:r w:rsidRPr="001C7202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Wytycznych w zakresie realizacji przedsięwzięć z udziałem środków Europejskiego Funduszu Społecznego w obszarze edukacji na lata 2014-2020</w:t>
            </w: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. </w:t>
            </w:r>
          </w:p>
          <w:p w:rsidR="00BC1C59" w:rsidRPr="001C7202" w:rsidRDefault="00BC1C59" w:rsidP="001C7202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przyczynia się do realizacji założeń Regionalnego Programu Operacyjnego Województwa Mazowieckiego 2014-2020 w zakresie osiągnięcia większej spójności społeczno-gospodarczej województwa . </w:t>
            </w:r>
          </w:p>
          <w:p w:rsidR="00BC1C59" w:rsidRPr="001C7202" w:rsidRDefault="00BC1C59" w:rsidP="001C7202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Lista miast średnich wskazana jest w załączniku nr 1,</w:t>
            </w:r>
            <w:r w:rsidRPr="001C7202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lista miast średnich tracących funkcje społeczno-gospodarcze w załączniku nr 2 do ,,Delimitacji miast </w:t>
            </w: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średnich tracących funkcje społeczno-gospodarcze” opracowanej na potrzeby Strategii na rzecz Odpowiedzialnego Rozwoju (</w:t>
            </w:r>
            <w:r w:rsidRPr="001C7202">
              <w:rPr>
                <w:rFonts w:ascii="Arial" w:hAnsi="Arial" w:cs="Arial"/>
                <w:sz w:val="20"/>
                <w:szCs w:val="20"/>
              </w:rPr>
              <w:t>https://www.funduszeeuropejskie.gov.pl/media/36253/Delimitacja_miast_srednich_SOR_Sleszynski_11.pdf)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0 </w:t>
            </w:r>
            <w:proofErr w:type="spellStart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– wsparciem nie są objęte szkoły wyłącznie z terenu miast średnich</w:t>
            </w:r>
            <w:r w:rsidRPr="00CD14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lub miast średnich tracących  funkcje społeczno-gospodarcze, ewentualnie brak informacji w tym zakresie,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– wsparciem są objęte szkoły wyłącznie z terenu miast średnich</w:t>
            </w:r>
            <w:r w:rsidRPr="00CD14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lub miast średnich tracących  funkcje społeczno-gospodarcze.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</w:tr>
      <w:tr w:rsidR="00BC1C59" w:rsidRPr="00B40AE2" w:rsidTr="00BC1C59">
        <w:tc>
          <w:tcPr>
            <w:tcW w:w="562" w:type="dxa"/>
            <w:gridSpan w:val="2"/>
            <w:vAlign w:val="center"/>
          </w:tcPr>
          <w:p w:rsidR="00BC1C59" w:rsidRPr="001C7202" w:rsidRDefault="00BC1C59" w:rsidP="001C7202">
            <w:pPr>
              <w:tabs>
                <w:tab w:val="left" w:pos="572"/>
              </w:tabs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8.</w:t>
            </w:r>
          </w:p>
        </w:tc>
        <w:tc>
          <w:tcPr>
            <w:tcW w:w="3232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jest zgodny z programem rewitalizacji obowiązującym  na obszarze, na którym jest realizowany.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Zastosowanie kryterium przyczynia się do wsparcia procesu rewitalizacji mającego na celu pobudzenie aktywności środowisk lokalnych, stymulowanie współpracy na rzecz rozwoju społeczno-gospodarczego oraz przeciwdziałanie zjawisku wykluczenia społecznego na obszarach degradowanych i zmarginalizowanych.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W celu uzyskania korzystnych efektów działań rewitalizacyjnych niezbędna jest koordynacja i synergia projektów finansowanych w ramach EFS i EFRR.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wynika z zapisów RPO WM oraz Wytycznych w zakresie rewitalizacji w programach operacyjnych na lata 2014-2020.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lastRenderedPageBreak/>
              <w:t xml:space="preserve">W ramach kryterium ocenie podlega, czy projekt jest zgodny z obowiązującym (na dzień składania wniosku o dofinansowanie) programem rewitalizacji, przy czym zgodność projektu z programem rewitalizacji oznacza wskazanie go wprost w programie rewitalizacji (lista projektów głównych) lub określenie wśród pozostałych rodzajów przedsięwzięć rewitalizacyjnych (przedsięwzięcia uzupełniające), które realizują kierunki działań programu.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Zgodność z lokalnym programem rewitalizacji będzie weryfikowana poprzez zgodność przedsięwzięcia wskazanego w programie rewitalizacji z zasadami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i typami operacji przewidzianymi w konkursie oraz realizację wskaźników obligatoryjnych dla konkursu.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Program rewitalizacji musi znajdować się w Wykazie programów rewitalizacji województwa mazowieckiego, publikowanym na stronie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Pr="001C7202">
                <w:rPr>
                  <w:rStyle w:val="Hipercze"/>
                  <w:rFonts w:ascii="Arial" w:hAnsi="Arial" w:cs="Arial"/>
                  <w:sz w:val="20"/>
                  <w:szCs w:val="20"/>
                </w:rPr>
                <w:t>http://www.funduszedlamazowsza.eu</w:t>
              </w:r>
            </w:hyperlink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weryfikowane na podstawie zapisów we wniosku o dofinansowanie projektu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zgodność projektu z programem rewitalizacji: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– nie jest zgodny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lub brak informacji w tym zakresie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- jest zgodny 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</w:p>
        </w:tc>
      </w:tr>
      <w:tr w:rsidR="00BC1C59" w:rsidRPr="00B40AE2" w:rsidTr="00BC1C59">
        <w:tc>
          <w:tcPr>
            <w:tcW w:w="562" w:type="dxa"/>
            <w:gridSpan w:val="2"/>
            <w:vAlign w:val="center"/>
          </w:tcPr>
          <w:p w:rsidR="00BC1C59" w:rsidRPr="001C7202" w:rsidRDefault="00BC1C59" w:rsidP="001C7202">
            <w:pPr>
              <w:tabs>
                <w:tab w:val="left" w:pos="572"/>
              </w:tabs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9.</w:t>
            </w:r>
          </w:p>
        </w:tc>
        <w:tc>
          <w:tcPr>
            <w:tcW w:w="3232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wynika z Planu Inwestycyjnego dla subregionu objętego problemowym  Obszarem Strategicznej Interwencji (OSI problemowymi).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W ramach kryterium ocenie podlega, czy projekt jest zawarty w Planie inwestycyjnym dla subregionu objętego problemowym Obszarem Strategicznej Interwencji, jako projekt towarzyszący. 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Wsparcie Obszarów Strategicznej Interwencji w ramach RPO WM 2014-2020 odbywa się poprzez realizację Planów Inwestycyjnych dla 5 subregionów (ciechanowskiego, płockiego, ostrołęckiego, siedleckiego i radomskiego) objętych OSI problemowymi. Plany inwestycyjne dla poszczególnych subregionów są dostępne na stronie </w:t>
            </w:r>
            <w:proofErr w:type="spellStart"/>
            <w:r w:rsidRPr="001C7202">
              <w:rPr>
                <w:rFonts w:ascii="Arial" w:hAnsi="Arial" w:cs="Arial"/>
                <w:sz w:val="20"/>
                <w:szCs w:val="20"/>
              </w:rPr>
              <w:t>www.funduszedlamazowsza.eu</w:t>
            </w:r>
            <w:proofErr w:type="spellEnd"/>
            <w:r w:rsidRPr="001C7202">
              <w:rPr>
                <w:rFonts w:ascii="Arial" w:hAnsi="Arial" w:cs="Arial"/>
                <w:sz w:val="20"/>
                <w:szCs w:val="20"/>
              </w:rPr>
              <w:t xml:space="preserve">, zakładka O programie/ Zapoznaj się z prawem i dokumentami. 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Zastosowanie kryterium przyczyni się do wzmocnienia potencjału Obszarów Strategicznej Interwencji (OSI) oraz zapewni komplementarność wsparcia w ramach EFS  i EFRR.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wynika z zapisów Regionalnego Programu Operacyjnego Województwa Mazowieckiego 2014-2020.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– projekt  nie wynika z Planu Inwestycyjnego dla subregionu objętego problemowym Obszarem Strategicznej Interwencji (OSI problemowymi) lub brak informacji w tym zakresie;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  <w:proofErr w:type="spellStart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pkt</w:t>
            </w:r>
            <w:proofErr w:type="spellEnd"/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projekt wynika z Planu Inwestycyjnego dla subregionu objętego problemowym Obszarem Strategicznej Interwencji (OSI problemowymi) 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</w:tr>
    </w:tbl>
    <w:p w:rsidR="00B40AE2" w:rsidRPr="00B40AE2" w:rsidRDefault="00B40AE2" w:rsidP="001C7202"/>
    <w:sectPr w:rsidR="00B40AE2" w:rsidRPr="00B40AE2" w:rsidSect="007610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202" w:rsidRDefault="001C7202" w:rsidP="000E0F51">
      <w:pPr>
        <w:spacing w:after="0" w:line="240" w:lineRule="auto"/>
      </w:pPr>
      <w:r>
        <w:separator/>
      </w:r>
    </w:p>
  </w:endnote>
  <w:endnote w:type="continuationSeparator" w:id="0">
    <w:p w:rsidR="001C7202" w:rsidRDefault="001C7202" w:rsidP="000E0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202" w:rsidRDefault="001C7202" w:rsidP="000E0F51">
      <w:pPr>
        <w:spacing w:after="0" w:line="240" w:lineRule="auto"/>
      </w:pPr>
      <w:r>
        <w:separator/>
      </w:r>
    </w:p>
  </w:footnote>
  <w:footnote w:type="continuationSeparator" w:id="0">
    <w:p w:rsidR="001C7202" w:rsidRDefault="001C7202" w:rsidP="000E0F51">
      <w:pPr>
        <w:spacing w:after="0" w:line="240" w:lineRule="auto"/>
      </w:pPr>
      <w:r>
        <w:continuationSeparator/>
      </w:r>
    </w:p>
  </w:footnote>
  <w:footnote w:id="1">
    <w:p w:rsidR="001C7202" w:rsidRPr="00927A2B" w:rsidRDefault="001C7202" w:rsidP="00BC1C59">
      <w:pPr>
        <w:pStyle w:val="Tekstprzypisudolnego"/>
        <w:jc w:val="both"/>
        <w:rPr>
          <w:sz w:val="15"/>
          <w:szCs w:val="15"/>
        </w:rPr>
      </w:pPr>
      <w:r w:rsidRPr="00927A2B">
        <w:rPr>
          <w:rStyle w:val="Odwoanieprzypisudolnego"/>
          <w:sz w:val="15"/>
          <w:szCs w:val="15"/>
        </w:rPr>
        <w:footnoteRef/>
      </w:r>
      <w:r w:rsidRPr="00927A2B">
        <w:rPr>
          <w:sz w:val="15"/>
          <w:szCs w:val="15"/>
        </w:rPr>
        <w:t xml:space="preserve"> </w:t>
      </w:r>
      <w:r w:rsidRPr="00927A2B">
        <w:rPr>
          <w:rFonts w:cs="Calibri"/>
          <w:sz w:val="15"/>
          <w:szCs w:val="15"/>
        </w:rPr>
        <w:t>Dotyczy wyłącznie projektów, których wnioskowana kwota dofinansowania jest równa albo przekracza 2 mln zł.</w:t>
      </w:r>
    </w:p>
  </w:footnote>
  <w:footnote w:id="2">
    <w:p w:rsidR="001C7202" w:rsidRPr="00BE1783" w:rsidRDefault="001C7202" w:rsidP="00BC1C59">
      <w:pPr>
        <w:pStyle w:val="Tekstprzypisudolnego"/>
        <w:jc w:val="both"/>
        <w:rPr>
          <w:sz w:val="15"/>
          <w:szCs w:val="15"/>
        </w:rPr>
      </w:pPr>
      <w:r w:rsidRPr="00BE1783">
        <w:rPr>
          <w:rStyle w:val="Odwoanieprzypisudolnego"/>
          <w:sz w:val="15"/>
          <w:szCs w:val="15"/>
        </w:rPr>
        <w:footnoteRef/>
      </w:r>
      <w:r w:rsidRPr="00BE1783">
        <w:rPr>
          <w:sz w:val="15"/>
          <w:szCs w:val="15"/>
        </w:rPr>
        <w:t xml:space="preserve"> </w:t>
      </w:r>
      <w:r w:rsidRPr="00BE1783">
        <w:rPr>
          <w:rFonts w:cs="Calibri"/>
          <w:sz w:val="15"/>
          <w:szCs w:val="15"/>
        </w:rPr>
        <w:t>Dotyczy wyłącznie projektów, których wnioskowana kwota dofinansowania jest równa albo przekracza 2 mln zł.</w:t>
      </w:r>
    </w:p>
  </w:footnote>
  <w:footnote w:id="3">
    <w:p w:rsidR="001C7202" w:rsidRDefault="001C7202">
      <w:pPr>
        <w:pStyle w:val="Tekstprzypisudolnego"/>
      </w:pPr>
      <w:r w:rsidRPr="0023101F">
        <w:rPr>
          <w:rStyle w:val="Odwoanieprzypisudolnego"/>
          <w:rFonts w:ascii="Arial" w:hAnsi="Arial" w:cs="Arial"/>
        </w:rPr>
        <w:footnoteRef/>
      </w:r>
      <w:r w:rsidRPr="0023101F">
        <w:rPr>
          <w:rFonts w:ascii="Arial" w:hAnsi="Arial" w:cs="Arial"/>
          <w:sz w:val="16"/>
          <w:szCs w:val="16"/>
        </w:rPr>
        <w:t xml:space="preserve"> </w:t>
      </w:r>
      <w:r w:rsidRPr="0023101F">
        <w:rPr>
          <w:rFonts w:ascii="Arial" w:eastAsia="Times New Roman" w:hAnsi="Arial" w:cs="Arial"/>
          <w:sz w:val="16"/>
          <w:szCs w:val="16"/>
          <w:lang w:eastAsia="pl-PL"/>
        </w:rPr>
        <w:t xml:space="preserve">Przez instytucje otoczenia społeczno-gospodarczego należy rozumieć pracodawców, organizacje pracodawców, przedsiębiorców, organizacje przedsiębiorców, instytucje rynku pracy, szkoły wyższe, organizacje pozarządowe, partnerów społecznych oraz innych zidentyfikowanych przez Wnioskodawcę </w:t>
      </w:r>
      <w:proofErr w:type="spellStart"/>
      <w:r w:rsidRPr="0023101F">
        <w:rPr>
          <w:rFonts w:ascii="Arial" w:eastAsia="Times New Roman" w:hAnsi="Arial" w:cs="Arial"/>
          <w:sz w:val="16"/>
          <w:szCs w:val="16"/>
          <w:lang w:eastAsia="pl-PL"/>
        </w:rPr>
        <w:t>interesariuszy</w:t>
      </w:r>
      <w:proofErr w:type="spellEnd"/>
      <w:r w:rsidRPr="0023101F">
        <w:rPr>
          <w:rFonts w:ascii="Arial" w:eastAsia="Times New Roman" w:hAnsi="Arial" w:cs="Arial"/>
          <w:sz w:val="16"/>
          <w:szCs w:val="16"/>
          <w:lang w:eastAsia="pl-PL"/>
        </w:rPr>
        <w:t>.</w:t>
      </w:r>
    </w:p>
  </w:footnote>
  <w:footnote w:id="4">
    <w:p w:rsidR="001C7202" w:rsidRPr="0023101F" w:rsidRDefault="001C7202">
      <w:pPr>
        <w:pStyle w:val="Tekstprzypisudolnego"/>
        <w:rPr>
          <w:rFonts w:ascii="Arial" w:hAnsi="Arial" w:cs="Arial"/>
          <w:sz w:val="16"/>
          <w:szCs w:val="16"/>
        </w:rPr>
      </w:pPr>
      <w:r w:rsidRPr="0023101F">
        <w:rPr>
          <w:rStyle w:val="Odwoanieprzypisudolnego"/>
          <w:rFonts w:ascii="Arial" w:hAnsi="Arial" w:cs="Arial"/>
        </w:rPr>
        <w:footnoteRef/>
      </w:r>
      <w:r w:rsidRPr="0023101F">
        <w:rPr>
          <w:rFonts w:ascii="Arial" w:hAnsi="Arial" w:cs="Arial"/>
          <w:sz w:val="16"/>
          <w:szCs w:val="16"/>
        </w:rPr>
        <w:t xml:space="preserve"> </w:t>
      </w:r>
      <w:r w:rsidRPr="0023101F">
        <w:rPr>
          <w:rFonts w:ascii="Arial" w:eastAsia="Times New Roman" w:hAnsi="Arial" w:cs="Arial"/>
          <w:sz w:val="16"/>
          <w:szCs w:val="16"/>
          <w:lang w:eastAsia="pl-PL"/>
        </w:rPr>
        <w:t>Finansowanie studiów podyplomowych jest możliwe, o ile spełniają wymogi określone w rozporządzeniu Ministra Nauki i Szkolnictwa Wyższego z dnia 17 stycznia 2012 r. w sprawie standardów kształcenia przygotowującego do wykonywania zawodu.</w:t>
      </w:r>
    </w:p>
  </w:footnote>
  <w:footnote w:id="5">
    <w:p w:rsidR="001C7202" w:rsidRPr="00991D6D" w:rsidRDefault="001C7202">
      <w:pPr>
        <w:pStyle w:val="Tekstprzypisudolnego"/>
      </w:pPr>
      <w:r w:rsidRPr="0023101F">
        <w:rPr>
          <w:rStyle w:val="Odwoanieprzypisudolnego"/>
          <w:rFonts w:ascii="Arial" w:hAnsi="Arial" w:cs="Arial"/>
        </w:rPr>
        <w:footnoteRef/>
      </w:r>
      <w:r w:rsidRPr="0023101F">
        <w:rPr>
          <w:rFonts w:ascii="Arial" w:hAnsi="Arial" w:cs="Arial"/>
          <w:sz w:val="16"/>
          <w:szCs w:val="16"/>
        </w:rPr>
        <w:t xml:space="preserve"> </w:t>
      </w:r>
      <w:r w:rsidRPr="0023101F">
        <w:rPr>
          <w:rFonts w:ascii="Arial" w:eastAsia="Times New Roman" w:hAnsi="Arial" w:cs="Arial"/>
          <w:sz w:val="16"/>
          <w:szCs w:val="16"/>
          <w:lang w:eastAsia="pl-PL"/>
        </w:rPr>
        <w:t>W przypadku tworzenia nowych kierunków nauczania, Wnioskodawca jest zobowiązany zamieścić informację, iż kierunki te uzyskają lub uzyskały pozytywną opinię właściwych podmiotów zgodnie z obowiązującym prawodawstwem krajowym.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B8E"/>
    <w:multiLevelType w:val="hybridMultilevel"/>
    <w:tmpl w:val="DFFA374E"/>
    <w:lvl w:ilvl="0" w:tplc="7E8C2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C3B25"/>
    <w:multiLevelType w:val="hybridMultilevel"/>
    <w:tmpl w:val="775EB228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844C6"/>
    <w:multiLevelType w:val="hybridMultilevel"/>
    <w:tmpl w:val="24BA457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BD38BD"/>
    <w:multiLevelType w:val="hybridMultilevel"/>
    <w:tmpl w:val="C46636EA"/>
    <w:lvl w:ilvl="0" w:tplc="6FD6DF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5B237A"/>
    <w:multiLevelType w:val="hybridMultilevel"/>
    <w:tmpl w:val="D5FCD0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6F243D"/>
    <w:multiLevelType w:val="hybridMultilevel"/>
    <w:tmpl w:val="EA32381A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5C8774F"/>
    <w:multiLevelType w:val="hybridMultilevel"/>
    <w:tmpl w:val="A46C750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6E2300B"/>
    <w:multiLevelType w:val="hybridMultilevel"/>
    <w:tmpl w:val="7F1CB8E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E533A9"/>
    <w:multiLevelType w:val="hybridMultilevel"/>
    <w:tmpl w:val="19505E2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6F934CB"/>
    <w:multiLevelType w:val="hybridMultilevel"/>
    <w:tmpl w:val="D934583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07D36098"/>
    <w:multiLevelType w:val="hybridMultilevel"/>
    <w:tmpl w:val="07BC0C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F108D0"/>
    <w:multiLevelType w:val="hybridMultilevel"/>
    <w:tmpl w:val="395AB0F0"/>
    <w:lvl w:ilvl="0" w:tplc="41420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1E5CE0"/>
    <w:multiLevelType w:val="hybridMultilevel"/>
    <w:tmpl w:val="AEC42A7E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4330F7"/>
    <w:multiLevelType w:val="hybridMultilevel"/>
    <w:tmpl w:val="7C58B4BE"/>
    <w:lvl w:ilvl="0" w:tplc="FE082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1CC739A"/>
    <w:multiLevelType w:val="hybridMultilevel"/>
    <w:tmpl w:val="39D632D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9B6C1D"/>
    <w:multiLevelType w:val="hybridMultilevel"/>
    <w:tmpl w:val="C9C40EE8"/>
    <w:lvl w:ilvl="0" w:tplc="7E8C2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CA38E7"/>
    <w:multiLevelType w:val="hybridMultilevel"/>
    <w:tmpl w:val="4FD63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5D198F"/>
    <w:multiLevelType w:val="hybridMultilevel"/>
    <w:tmpl w:val="8096675E"/>
    <w:lvl w:ilvl="0" w:tplc="ACC0E1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5E6FEE"/>
    <w:multiLevelType w:val="hybridMultilevel"/>
    <w:tmpl w:val="9006C5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ACC6975"/>
    <w:multiLevelType w:val="hybridMultilevel"/>
    <w:tmpl w:val="F376A4A4"/>
    <w:lvl w:ilvl="0" w:tplc="DB56F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018EE"/>
    <w:multiLevelType w:val="hybridMultilevel"/>
    <w:tmpl w:val="0DFA7EF6"/>
    <w:lvl w:ilvl="0" w:tplc="B3BA7D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B4146"/>
    <w:multiLevelType w:val="hybridMultilevel"/>
    <w:tmpl w:val="019611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F026C1"/>
    <w:multiLevelType w:val="hybridMultilevel"/>
    <w:tmpl w:val="C1D824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87740A"/>
    <w:multiLevelType w:val="hybridMultilevel"/>
    <w:tmpl w:val="DE82E64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9D5E01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4A4928E4"/>
    <w:multiLevelType w:val="hybridMultilevel"/>
    <w:tmpl w:val="F2E6FC5A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>
    <w:nsid w:val="4AEC09B7"/>
    <w:multiLevelType w:val="hybridMultilevel"/>
    <w:tmpl w:val="0A78D8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4C0531C6"/>
    <w:multiLevelType w:val="hybridMultilevel"/>
    <w:tmpl w:val="52E6D8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F5B1F77"/>
    <w:multiLevelType w:val="hybridMultilevel"/>
    <w:tmpl w:val="9556B130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746995"/>
    <w:multiLevelType w:val="hybridMultilevel"/>
    <w:tmpl w:val="71BA4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0D426B7"/>
    <w:multiLevelType w:val="hybridMultilevel"/>
    <w:tmpl w:val="FCDC45F6"/>
    <w:lvl w:ilvl="0" w:tplc="6AC8EA8A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>
    <w:nsid w:val="50E352CD"/>
    <w:multiLevelType w:val="hybridMultilevel"/>
    <w:tmpl w:val="AA82CE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2D50B5D"/>
    <w:multiLevelType w:val="hybridMultilevel"/>
    <w:tmpl w:val="A46C750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2DF7B88"/>
    <w:multiLevelType w:val="hybridMultilevel"/>
    <w:tmpl w:val="C1AA3350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535760"/>
    <w:multiLevelType w:val="hybridMultilevel"/>
    <w:tmpl w:val="A9CA424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>
    <w:nsid w:val="5C2831F5"/>
    <w:multiLevelType w:val="hybridMultilevel"/>
    <w:tmpl w:val="71C030B2"/>
    <w:lvl w:ilvl="0" w:tplc="20827C1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947774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63C262AA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6E53F42"/>
    <w:multiLevelType w:val="hybridMultilevel"/>
    <w:tmpl w:val="F1DA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A8560A"/>
    <w:multiLevelType w:val="hybridMultilevel"/>
    <w:tmpl w:val="4962A066"/>
    <w:lvl w:ilvl="0" w:tplc="1602B0F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8A00D43"/>
    <w:multiLevelType w:val="hybridMultilevel"/>
    <w:tmpl w:val="D4CAC802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960003"/>
    <w:multiLevelType w:val="hybridMultilevel"/>
    <w:tmpl w:val="4CEC4FE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CD3B9A"/>
    <w:multiLevelType w:val="hybridMultilevel"/>
    <w:tmpl w:val="019611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A644156"/>
    <w:multiLevelType w:val="hybridMultilevel"/>
    <w:tmpl w:val="B02CFDA0"/>
    <w:lvl w:ilvl="0" w:tplc="8C32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797ECE"/>
    <w:multiLevelType w:val="hybridMultilevel"/>
    <w:tmpl w:val="1A5EF99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C563C93"/>
    <w:multiLevelType w:val="hybridMultilevel"/>
    <w:tmpl w:val="0672B64A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8"/>
  </w:num>
  <w:num w:numId="4">
    <w:abstractNumId w:val="20"/>
  </w:num>
  <w:num w:numId="5">
    <w:abstractNumId w:val="34"/>
  </w:num>
  <w:num w:numId="6">
    <w:abstractNumId w:val="27"/>
  </w:num>
  <w:num w:numId="7">
    <w:abstractNumId w:val="43"/>
  </w:num>
  <w:num w:numId="8">
    <w:abstractNumId w:val="13"/>
  </w:num>
  <w:num w:numId="9">
    <w:abstractNumId w:val="23"/>
  </w:num>
  <w:num w:numId="10">
    <w:abstractNumId w:val="40"/>
  </w:num>
  <w:num w:numId="11">
    <w:abstractNumId w:val="28"/>
  </w:num>
  <w:num w:numId="12">
    <w:abstractNumId w:val="7"/>
  </w:num>
  <w:num w:numId="13">
    <w:abstractNumId w:val="1"/>
  </w:num>
  <w:num w:numId="14">
    <w:abstractNumId w:val="33"/>
  </w:num>
  <w:num w:numId="15">
    <w:abstractNumId w:val="41"/>
  </w:num>
  <w:num w:numId="16">
    <w:abstractNumId w:val="12"/>
  </w:num>
  <w:num w:numId="17">
    <w:abstractNumId w:val="45"/>
  </w:num>
  <w:num w:numId="18">
    <w:abstractNumId w:val="37"/>
  </w:num>
  <w:num w:numId="19">
    <w:abstractNumId w:val="30"/>
  </w:num>
  <w:num w:numId="20">
    <w:abstractNumId w:val="9"/>
  </w:num>
  <w:num w:numId="21">
    <w:abstractNumId w:val="24"/>
  </w:num>
  <w:num w:numId="22">
    <w:abstractNumId w:val="10"/>
  </w:num>
  <w:num w:numId="23">
    <w:abstractNumId w:val="5"/>
  </w:num>
  <w:num w:numId="24">
    <w:abstractNumId w:val="2"/>
  </w:num>
  <w:num w:numId="25">
    <w:abstractNumId w:val="6"/>
  </w:num>
  <w:num w:numId="26">
    <w:abstractNumId w:val="42"/>
  </w:num>
  <w:num w:numId="27">
    <w:abstractNumId w:val="31"/>
  </w:num>
  <w:num w:numId="28">
    <w:abstractNumId w:val="16"/>
  </w:num>
  <w:num w:numId="29">
    <w:abstractNumId w:val="29"/>
  </w:num>
  <w:num w:numId="30">
    <w:abstractNumId w:val="8"/>
  </w:num>
  <w:num w:numId="31">
    <w:abstractNumId w:val="39"/>
  </w:num>
  <w:num w:numId="32">
    <w:abstractNumId w:val="22"/>
  </w:num>
  <w:num w:numId="33">
    <w:abstractNumId w:val="3"/>
  </w:num>
  <w:num w:numId="34">
    <w:abstractNumId w:val="25"/>
  </w:num>
  <w:num w:numId="35">
    <w:abstractNumId w:val="44"/>
  </w:num>
  <w:num w:numId="36">
    <w:abstractNumId w:val="36"/>
  </w:num>
  <w:num w:numId="37">
    <w:abstractNumId w:val="26"/>
  </w:num>
  <w:num w:numId="38">
    <w:abstractNumId w:val="14"/>
  </w:num>
  <w:num w:numId="39">
    <w:abstractNumId w:val="32"/>
  </w:num>
  <w:num w:numId="40">
    <w:abstractNumId w:val="21"/>
  </w:num>
  <w:num w:numId="41">
    <w:abstractNumId w:val="11"/>
  </w:num>
  <w:num w:numId="42">
    <w:abstractNumId w:val="4"/>
  </w:num>
  <w:num w:numId="43">
    <w:abstractNumId w:val="18"/>
  </w:num>
  <w:num w:numId="44">
    <w:abstractNumId w:val="35"/>
  </w:num>
  <w:num w:numId="45">
    <w:abstractNumId w:val="15"/>
  </w:num>
  <w:num w:numId="4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iółkowski Piotr">
    <w15:presenceInfo w15:providerId="AD" w15:userId="S-1-5-21-3614740060-3577846218-3186316695-86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83B"/>
    <w:rsid w:val="000166F8"/>
    <w:rsid w:val="000905B8"/>
    <w:rsid w:val="000A5D1D"/>
    <w:rsid w:val="000E0F51"/>
    <w:rsid w:val="000E5509"/>
    <w:rsid w:val="00130C96"/>
    <w:rsid w:val="00151514"/>
    <w:rsid w:val="00160A85"/>
    <w:rsid w:val="00184987"/>
    <w:rsid w:val="001C7202"/>
    <w:rsid w:val="001D501D"/>
    <w:rsid w:val="002032D0"/>
    <w:rsid w:val="00213CB1"/>
    <w:rsid w:val="00277667"/>
    <w:rsid w:val="002F773C"/>
    <w:rsid w:val="00307849"/>
    <w:rsid w:val="003361B0"/>
    <w:rsid w:val="003A55DC"/>
    <w:rsid w:val="003B1764"/>
    <w:rsid w:val="003C1A2F"/>
    <w:rsid w:val="003E0CCF"/>
    <w:rsid w:val="00436F29"/>
    <w:rsid w:val="004E18E0"/>
    <w:rsid w:val="004E2E3F"/>
    <w:rsid w:val="004E6265"/>
    <w:rsid w:val="004F48E4"/>
    <w:rsid w:val="0052182C"/>
    <w:rsid w:val="005554F0"/>
    <w:rsid w:val="005845DD"/>
    <w:rsid w:val="005D41B0"/>
    <w:rsid w:val="005E55B0"/>
    <w:rsid w:val="00626745"/>
    <w:rsid w:val="0066283B"/>
    <w:rsid w:val="006E421B"/>
    <w:rsid w:val="0075427A"/>
    <w:rsid w:val="007610FF"/>
    <w:rsid w:val="007C730A"/>
    <w:rsid w:val="00813144"/>
    <w:rsid w:val="008460B8"/>
    <w:rsid w:val="00860A36"/>
    <w:rsid w:val="008C602F"/>
    <w:rsid w:val="008E3EF1"/>
    <w:rsid w:val="009212AE"/>
    <w:rsid w:val="00951015"/>
    <w:rsid w:val="009A6B77"/>
    <w:rsid w:val="009B3875"/>
    <w:rsid w:val="009F4A2E"/>
    <w:rsid w:val="00A450F4"/>
    <w:rsid w:val="00A65732"/>
    <w:rsid w:val="00A71244"/>
    <w:rsid w:val="00AC4384"/>
    <w:rsid w:val="00AE0685"/>
    <w:rsid w:val="00B260B1"/>
    <w:rsid w:val="00B37BD2"/>
    <w:rsid w:val="00B40AE2"/>
    <w:rsid w:val="00B47AEC"/>
    <w:rsid w:val="00B71E7F"/>
    <w:rsid w:val="00B90B56"/>
    <w:rsid w:val="00BB100A"/>
    <w:rsid w:val="00BC1C59"/>
    <w:rsid w:val="00BF4F2A"/>
    <w:rsid w:val="00C40C34"/>
    <w:rsid w:val="00C44E09"/>
    <w:rsid w:val="00C4754F"/>
    <w:rsid w:val="00C905A2"/>
    <w:rsid w:val="00D21283"/>
    <w:rsid w:val="00D46D8D"/>
    <w:rsid w:val="00D60EFC"/>
    <w:rsid w:val="00D81156"/>
    <w:rsid w:val="00DB56CE"/>
    <w:rsid w:val="00DD4B70"/>
    <w:rsid w:val="00E26BF5"/>
    <w:rsid w:val="00E862A0"/>
    <w:rsid w:val="00FC4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427A"/>
  </w:style>
  <w:style w:type="paragraph" w:styleId="Nagwek1">
    <w:name w:val="heading 1"/>
    <w:basedOn w:val="Normalny"/>
    <w:next w:val="Normalny"/>
    <w:link w:val="Nagwek1Znak"/>
    <w:uiPriority w:val="9"/>
    <w:qFormat/>
    <w:rsid w:val="006E42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42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0E0F51"/>
    <w:pPr>
      <w:spacing w:after="0" w:line="240" w:lineRule="auto"/>
    </w:pPr>
    <w:rPr>
      <w:rFonts w:eastAsia="Times New Roman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uiPriority w:val="99"/>
    <w:unhideWhenUsed/>
    <w:rsid w:val="000E0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F51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F51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TekstprzypisuZnakZnakZnakZnakZnak1">
    <w:name w:val="Tekst przypisu Znak Znak Znak Znak Znak1"/>
    <w:basedOn w:val="Normalny"/>
    <w:next w:val="Tekstprzypisudolnego"/>
    <w:link w:val="TekstprzypisudolnegoZnak"/>
    <w:unhideWhenUsed/>
    <w:qFormat/>
    <w:rsid w:val="000E0F51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Tekst przypisu Znak,Znak Znak1"/>
    <w:basedOn w:val="Domylnaczcionkaakapitu"/>
    <w:link w:val="TekstprzypisuZnakZnakZnakZnakZnak1"/>
    <w:uiPriority w:val="99"/>
    <w:rsid w:val="000E0F51"/>
    <w:rPr>
      <w:rFonts w:eastAsia="Calibr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E0F51"/>
    <w:rPr>
      <w:vertAlign w:val="superscript"/>
    </w:rPr>
  </w:style>
  <w:style w:type="table" w:styleId="Tabela-Siatka">
    <w:name w:val="Table Grid"/>
    <w:basedOn w:val="Standardowy"/>
    <w:uiPriority w:val="59"/>
    <w:rsid w:val="000E0F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1"/>
    <w:uiPriority w:val="99"/>
    <w:unhideWhenUsed/>
    <w:qFormat/>
    <w:rsid w:val="000E0F51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1,-E Fuﬂnotentext Znak1,Fuﬂnotentext Ursprung Znak1,footnote text Znak1,Fußnotentext Ursprung Znak1,-E Fußnotentext Znak1,Fußnote Znak1,Podrozdział Znak1,Footnote Znak1,Podrozdzia3 Znak1,Znak Znak2,o Znak"/>
    <w:basedOn w:val="Domylnaczcionkaakapitu"/>
    <w:link w:val="Tekstprzypisudolnego"/>
    <w:uiPriority w:val="99"/>
    <w:semiHidden/>
    <w:rsid w:val="000E0F5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F5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B100A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60B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60B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,Numerowanie,Akapit z listą BS,Kolorowa lista — akcent 11"/>
    <w:basedOn w:val="Normalny"/>
    <w:link w:val="AkapitzlistZnak"/>
    <w:uiPriority w:val="34"/>
    <w:qFormat/>
    <w:rsid w:val="00C40C34"/>
    <w:pPr>
      <w:spacing w:after="120" w:line="264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6E42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6E4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ist Paragraph Znak,Numerowanie Znak,Akapit z listą BS Znak,Kolorowa lista — akcent 11 Znak"/>
    <w:link w:val="Akapitzlist"/>
    <w:uiPriority w:val="34"/>
    <w:locked/>
    <w:rsid w:val="00B260B1"/>
    <w:rPr>
      <w:rFonts w:eastAsiaTheme="minorEastAsia"/>
      <w:sz w:val="21"/>
      <w:szCs w:val="21"/>
    </w:rPr>
  </w:style>
  <w:style w:type="paragraph" w:customStyle="1" w:styleId="Default">
    <w:name w:val="Default"/>
    <w:rsid w:val="008E3EF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FC409B"/>
    <w:pPr>
      <w:ind w:left="360" w:hanging="360"/>
      <w:contextualSpacing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D60EFC"/>
    <w:pPr>
      <w:spacing w:after="0" w:line="240" w:lineRule="auto"/>
      <w:contextualSpacing/>
      <w:jc w:val="both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0EFC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Standard">
    <w:name w:val="Standard"/>
    <w:rsid w:val="00BC1C59"/>
    <w:pPr>
      <w:suppressAutoHyphens/>
      <w:autoSpaceDN w:val="0"/>
      <w:spacing w:after="160" w:line="249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42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42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0E0F5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0E0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F51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F51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TekstprzypisuZnakZnakZnakZnakZnak1">
    <w:name w:val="Tekst przypisu Znak Znak Znak Znak Znak1"/>
    <w:basedOn w:val="Normalny"/>
    <w:next w:val="Tekstprzypisudolnego"/>
    <w:link w:val="TekstprzypisudolnegoZnak"/>
    <w:unhideWhenUsed/>
    <w:qFormat/>
    <w:rsid w:val="000E0F51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Tekst przypisu Znak,Znak Znak1"/>
    <w:basedOn w:val="Domylnaczcionkaakapitu"/>
    <w:link w:val="TekstprzypisuZnakZnakZnakZnakZnak1"/>
    <w:uiPriority w:val="99"/>
    <w:rsid w:val="000E0F51"/>
    <w:rPr>
      <w:rFonts w:eastAsia="Calibr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E0F51"/>
    <w:rPr>
      <w:vertAlign w:val="superscript"/>
    </w:rPr>
  </w:style>
  <w:style w:type="table" w:styleId="Tabela-Siatka">
    <w:name w:val="Table Grid"/>
    <w:basedOn w:val="Standardowy"/>
    <w:uiPriority w:val="59"/>
    <w:rsid w:val="000E0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1"/>
    <w:uiPriority w:val="99"/>
    <w:unhideWhenUsed/>
    <w:qFormat/>
    <w:rsid w:val="000E0F51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1,-E Fuﬂnotentext Znak1,Fuﬂnotentext Ursprung Znak1,footnote text Znak1,Fußnotentext Ursprung Znak1,-E Fußnotentext Znak1,Fußnote Znak1,Podrozdział Znak1,Footnote Znak1,Podrozdzia3 Znak1,Znak Znak2,o Znak"/>
    <w:basedOn w:val="Domylnaczcionkaakapitu"/>
    <w:link w:val="Tekstprzypisudolnego"/>
    <w:uiPriority w:val="99"/>
    <w:semiHidden/>
    <w:rsid w:val="000E0F5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F5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B100A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60B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60B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,Numerowanie,Akapit z listą BS,Kolorowa lista — akcent 11"/>
    <w:basedOn w:val="Normalny"/>
    <w:link w:val="AkapitzlistZnak"/>
    <w:uiPriority w:val="34"/>
    <w:qFormat/>
    <w:rsid w:val="00C40C34"/>
    <w:pPr>
      <w:spacing w:after="120" w:line="264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6E42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6E4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ist Paragraph Znak,Numerowanie Znak,Akapit z listą BS Znak,Kolorowa lista — akcent 11 Znak"/>
    <w:link w:val="Akapitzlist"/>
    <w:uiPriority w:val="34"/>
    <w:locked/>
    <w:rsid w:val="00B260B1"/>
    <w:rPr>
      <w:rFonts w:eastAsiaTheme="minorEastAsia"/>
      <w:sz w:val="21"/>
      <w:szCs w:val="21"/>
    </w:rPr>
  </w:style>
  <w:style w:type="paragraph" w:customStyle="1" w:styleId="Default">
    <w:name w:val="Default"/>
    <w:rsid w:val="008E3EF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FC409B"/>
    <w:pPr>
      <w:ind w:left="360" w:hanging="360"/>
      <w:contextualSpacing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D60EFC"/>
    <w:pPr>
      <w:spacing w:after="0" w:line="240" w:lineRule="auto"/>
      <w:contextualSpacing/>
      <w:jc w:val="both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0EFC"/>
    <w:rPr>
      <w:rFonts w:ascii="Cambria" w:eastAsia="Times New Roman" w:hAnsi="Cambria" w:cs="Times New Roman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dlamazowsz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95434-1796-4378-967E-44A98631E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2837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Kątna-Ćwikilewicz</dc:creator>
  <cp:lastModifiedBy>Emilia Kroczek-Rydzewska</cp:lastModifiedBy>
  <cp:revision>10</cp:revision>
  <cp:lastPrinted>2018-01-15T12:12:00Z</cp:lastPrinted>
  <dcterms:created xsi:type="dcterms:W3CDTF">2017-10-26T12:14:00Z</dcterms:created>
  <dcterms:modified xsi:type="dcterms:W3CDTF">2018-07-24T10:25:00Z</dcterms:modified>
</cp:coreProperties>
</file>